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黑体"/>
          <w:bCs/>
          <w:sz w:val="32"/>
        </w:rPr>
      </w:pPr>
      <w:r>
        <w:rPr>
          <w:rFonts w:ascii="宋体" w:hAnsi="宋体" w:eastAsia="黑体"/>
          <w:bCs/>
          <w:sz w:val="32"/>
        </w:rPr>
        <w:t>附件4</w:t>
      </w:r>
    </w:p>
    <w:p>
      <w:pPr>
        <w:spacing w:line="600" w:lineRule="exact"/>
        <w:rPr>
          <w:rFonts w:ascii="宋体" w:hAnsi="宋体"/>
          <w:bCs/>
          <w:sz w:val="32"/>
        </w:rPr>
      </w:pPr>
      <w:bookmarkStart w:id="0" w:name="_GoBack"/>
      <w:bookmarkEnd w:id="0"/>
    </w:p>
    <w:p>
      <w:pPr>
        <w:pStyle w:val="4"/>
        <w:shd w:val="clear" w:color="auto" w:fill="FFFFFF"/>
        <w:spacing w:before="0" w:beforeAutospacing="0" w:after="0" w:afterAutospacing="0" w:line="600" w:lineRule="exact"/>
        <w:jc w:val="center"/>
        <w:rPr>
          <w:rFonts w:ascii="宋体" w:hAnsi="宋体" w:eastAsia="微软雅黑"/>
          <w:sz w:val="32"/>
          <w:szCs w:val="18"/>
        </w:rPr>
      </w:pPr>
      <w:r>
        <w:rPr>
          <w:rFonts w:hint="eastAsia" w:ascii="宋体" w:hAnsi="宋体" w:eastAsia="方正小标宋简体"/>
          <w:sz w:val="44"/>
          <w:szCs w:val="44"/>
        </w:rPr>
        <w:t>部分职称评审政策</w:t>
      </w:r>
    </w:p>
    <w:p>
      <w:pPr>
        <w:pStyle w:val="4"/>
        <w:shd w:val="clear" w:color="auto" w:fill="FFFFFF"/>
        <w:spacing w:before="0" w:beforeAutospacing="0" w:after="0" w:afterAutospacing="0"/>
        <w:jc w:val="both"/>
        <w:rPr>
          <w:rFonts w:hint="eastAsia" w:ascii="宋体" w:hAnsi="宋体" w:eastAsia="微软雅黑"/>
          <w:sz w:val="32"/>
          <w:szCs w:val="18"/>
        </w:rPr>
      </w:pPr>
    </w:p>
    <w:p>
      <w:pPr>
        <w:ind w:firstLine="640"/>
        <w:rPr>
          <w:rFonts w:ascii="宋体" w:hAnsi="宋体" w:eastAsia="仿宋" w:cs="仿宋"/>
          <w:kern w:val="0"/>
          <w:sz w:val="32"/>
          <w:szCs w:val="32"/>
          <w:shd w:val="clear" w:color="auto" w:fill="FFFFFF"/>
          <w:lang w:bidi="ar"/>
        </w:rPr>
      </w:pPr>
      <w:r>
        <w:rPr>
          <w:rFonts w:hint="eastAsia" w:ascii="宋体" w:hAnsi="宋体" w:eastAsia="仿宋" w:cs="仿宋"/>
          <w:kern w:val="0"/>
          <w:sz w:val="32"/>
          <w:szCs w:val="32"/>
          <w:shd w:val="clear" w:color="auto" w:fill="FFFFFF"/>
          <w:lang w:bidi="ar"/>
        </w:rPr>
        <w:t>1.</w:t>
      </w:r>
      <w:r>
        <w:rPr>
          <w:rFonts w:hint="eastAsia" w:ascii="宋体" w:hAnsi="宋体" w:eastAsia="仿宋_GB2312" w:cs="仿宋"/>
          <w:kern w:val="32"/>
          <w:sz w:val="32"/>
          <w:szCs w:val="32"/>
          <w:shd w:val="clear" w:color="auto" w:fill="FFFFFF"/>
        </w:rPr>
        <w:t>《人力资源社会保障部 国家卫生健康委 国家中医药局关于深化卫生专业技术人员职称制度改革的指导意见》（人社部发</w:t>
      </w:r>
      <w:r>
        <w:rPr>
          <w:rFonts w:hint="eastAsia" w:ascii="宋体" w:hAnsi="宋体" w:eastAsia="仿宋" w:cs="仿宋"/>
          <w:kern w:val="0"/>
          <w:sz w:val="32"/>
          <w:szCs w:val="32"/>
          <w:shd w:val="clear" w:color="auto" w:fill="FFFFFF"/>
          <w:lang w:bidi="ar"/>
        </w:rPr>
        <w:t>〔2021〕</w:t>
      </w:r>
      <w:r>
        <w:rPr>
          <w:rFonts w:ascii="宋体" w:hAnsi="宋体" w:eastAsia="仿宋" w:cs="仿宋"/>
          <w:kern w:val="0"/>
          <w:sz w:val="32"/>
          <w:szCs w:val="32"/>
          <w:shd w:val="clear" w:color="auto" w:fill="FFFFFF"/>
          <w:lang w:bidi="ar"/>
        </w:rPr>
        <w:t>51</w:t>
      </w:r>
      <w:r>
        <w:rPr>
          <w:rFonts w:hint="eastAsia" w:ascii="宋体" w:hAnsi="宋体" w:eastAsia="仿宋" w:cs="仿宋"/>
          <w:kern w:val="0"/>
          <w:sz w:val="32"/>
          <w:szCs w:val="32"/>
          <w:shd w:val="clear" w:color="auto" w:fill="FFFFFF"/>
          <w:lang w:bidi="ar"/>
        </w:rPr>
        <w:t>号</w:t>
      </w:r>
      <w:r>
        <w:rPr>
          <w:rFonts w:hint="eastAsia" w:ascii="宋体" w:hAnsi="宋体" w:eastAsia="仿宋_GB2312" w:cs="仿宋"/>
          <w:kern w:val="32"/>
          <w:sz w:val="32"/>
          <w:szCs w:val="32"/>
          <w:shd w:val="clear" w:color="auto" w:fill="FFFFFF"/>
        </w:rPr>
        <w:t>）</w:t>
      </w:r>
    </w:p>
    <w:p>
      <w:pPr>
        <w:ind w:firstLine="640"/>
        <w:rPr>
          <w:rFonts w:hint="eastAsia"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2.</w:t>
      </w:r>
      <w:r>
        <w:rPr>
          <w:rFonts w:hint="eastAsia" w:ascii="宋体" w:hAnsi="宋体" w:eastAsia="仿宋" w:cs="仿宋"/>
          <w:kern w:val="0"/>
          <w:sz w:val="32"/>
          <w:szCs w:val="32"/>
          <w:shd w:val="clear" w:color="auto" w:fill="FFFFFF"/>
          <w:lang w:bidi="ar"/>
        </w:rPr>
        <w:t>《人力</w:t>
      </w:r>
      <w:r>
        <w:rPr>
          <w:rFonts w:ascii="宋体" w:hAnsi="宋体" w:eastAsia="仿宋" w:cs="仿宋"/>
          <w:kern w:val="0"/>
          <w:sz w:val="32"/>
          <w:szCs w:val="32"/>
          <w:shd w:val="clear" w:color="auto" w:fill="FFFFFF"/>
          <w:lang w:bidi="ar"/>
        </w:rPr>
        <w:t>资源社会保障部办公厅关于做好</w:t>
      </w:r>
      <w:r>
        <w:rPr>
          <w:rFonts w:hint="eastAsia" w:ascii="宋体" w:hAnsi="宋体" w:eastAsia="仿宋" w:cs="仿宋"/>
          <w:kern w:val="0"/>
          <w:sz w:val="32"/>
          <w:szCs w:val="32"/>
          <w:shd w:val="clear" w:color="auto" w:fill="FFFFFF"/>
          <w:lang w:bidi="ar"/>
        </w:rPr>
        <w:t>新</w:t>
      </w:r>
      <w:r>
        <w:rPr>
          <w:rFonts w:ascii="宋体" w:hAnsi="宋体" w:eastAsia="仿宋" w:cs="仿宋"/>
          <w:kern w:val="0"/>
          <w:sz w:val="32"/>
          <w:szCs w:val="32"/>
          <w:shd w:val="clear" w:color="auto" w:fill="FFFFFF"/>
          <w:lang w:bidi="ar"/>
        </w:rPr>
        <w:t>冠肺炎疫情防控一线专业技术人员职称工作的通知</w:t>
      </w:r>
      <w:r>
        <w:rPr>
          <w:rFonts w:hint="eastAsia" w:ascii="宋体" w:hAnsi="宋体" w:eastAsia="仿宋" w:cs="仿宋"/>
          <w:kern w:val="0"/>
          <w:sz w:val="32"/>
          <w:szCs w:val="32"/>
          <w:shd w:val="clear" w:color="auto" w:fill="FFFFFF"/>
          <w:lang w:bidi="ar"/>
        </w:rPr>
        <w:t>》（人</w:t>
      </w:r>
      <w:r>
        <w:rPr>
          <w:rFonts w:ascii="宋体" w:hAnsi="宋体" w:eastAsia="仿宋" w:cs="仿宋"/>
          <w:kern w:val="0"/>
          <w:sz w:val="32"/>
          <w:szCs w:val="32"/>
          <w:shd w:val="clear" w:color="auto" w:fill="FFFFFF"/>
          <w:lang w:bidi="ar"/>
        </w:rPr>
        <w:t>社厅发</w:t>
      </w:r>
      <w:r>
        <w:rPr>
          <w:rFonts w:hint="eastAsia" w:ascii="宋体" w:hAnsi="宋体" w:eastAsia="仿宋" w:cs="仿宋"/>
          <w:kern w:val="0"/>
          <w:sz w:val="32"/>
          <w:szCs w:val="32"/>
          <w:shd w:val="clear" w:color="auto" w:fill="FFFFFF"/>
          <w:lang w:bidi="ar"/>
        </w:rPr>
        <w:t>〔2020〕23号）</w:t>
      </w:r>
    </w:p>
    <w:p>
      <w:pPr>
        <w:ind w:firstLine="640"/>
        <w:rPr>
          <w:rFonts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3</w:t>
      </w:r>
      <w:r>
        <w:rPr>
          <w:rFonts w:hint="eastAsia" w:ascii="宋体" w:hAnsi="宋体" w:eastAsia="仿宋" w:cs="仿宋"/>
          <w:kern w:val="0"/>
          <w:sz w:val="32"/>
          <w:szCs w:val="32"/>
          <w:shd w:val="clear" w:color="auto" w:fill="FFFFFF"/>
          <w:lang w:bidi="ar"/>
        </w:rPr>
        <w:t>.《中共山东省委办公厅山东省人民政府办公厅印发&lt;关于深化职称制度改革的实施意见&gt;的通知》（鲁办发〔2018〕1号）</w:t>
      </w:r>
    </w:p>
    <w:p>
      <w:pPr>
        <w:ind w:firstLine="640"/>
        <w:rPr>
          <w:rFonts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4.</w:t>
      </w:r>
      <w:r>
        <w:rPr>
          <w:rFonts w:hint="eastAsia" w:ascii="宋体" w:hAnsi="宋体" w:eastAsia="仿宋" w:cs="仿宋"/>
          <w:kern w:val="0"/>
          <w:sz w:val="32"/>
          <w:szCs w:val="32"/>
          <w:shd w:val="clear" w:color="auto" w:fill="FFFFFF"/>
          <w:lang w:bidi="ar"/>
        </w:rPr>
        <w:t>《山东省人力资源和社会保障厅关于印发山东省职称评审管理服务实施办法的通知》（鲁人社规〔2021〕1号）</w:t>
      </w:r>
    </w:p>
    <w:p>
      <w:pPr>
        <w:ind w:firstLine="640"/>
        <w:rPr>
          <w:rFonts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5.</w:t>
      </w:r>
      <w:r>
        <w:rPr>
          <w:rFonts w:hint="eastAsia" w:ascii="宋体" w:hAnsi="宋体" w:eastAsia="仿宋" w:cs="仿宋"/>
          <w:kern w:val="0"/>
          <w:sz w:val="32"/>
          <w:szCs w:val="32"/>
          <w:shd w:val="clear" w:color="auto" w:fill="FFFFFF"/>
          <w:lang w:bidi="ar"/>
        </w:rPr>
        <w:t>《山东省人力资源和社会保障厅关于下放职称服务管理权限和建立高层次人才高级职称评审“直通车”制度的通知》（鲁人社字〔2019〕128号）</w:t>
      </w:r>
    </w:p>
    <w:p>
      <w:pPr>
        <w:ind w:firstLine="640"/>
        <w:rPr>
          <w:rFonts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6.</w:t>
      </w:r>
      <w:r>
        <w:rPr>
          <w:rFonts w:hint="eastAsia" w:ascii="宋体" w:hAnsi="宋体" w:eastAsia="仿宋" w:cs="仿宋"/>
          <w:kern w:val="0"/>
          <w:sz w:val="32"/>
          <w:szCs w:val="32"/>
          <w:shd w:val="clear" w:color="auto" w:fill="FFFFFF"/>
          <w:lang w:bidi="ar"/>
        </w:rPr>
        <w:t>《中共山东省委组织部山东省人力资源和社会保障厅山东省教育厅山东省科学技术厅山东省财政厅关于印发山东省柔性引进人才办法的通知》（鲁人社发〔2019〕36号）</w:t>
      </w:r>
    </w:p>
    <w:p>
      <w:pPr>
        <w:ind w:firstLine="640"/>
        <w:rPr>
          <w:rFonts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7</w:t>
      </w:r>
      <w:r>
        <w:rPr>
          <w:rFonts w:hint="eastAsia" w:ascii="宋体" w:hAnsi="宋体" w:eastAsia="仿宋" w:cs="仿宋"/>
          <w:kern w:val="0"/>
          <w:sz w:val="32"/>
          <w:szCs w:val="32"/>
          <w:shd w:val="clear" w:color="auto" w:fill="FFFFFF"/>
          <w:lang w:bidi="ar"/>
        </w:rPr>
        <w:t>.《山东省人力资源和社会保障厅关于工程技术领域高技能人才与工程技术人才职业贯通发展的实施意见》（鲁人社发〔2020〕16号）</w:t>
      </w:r>
    </w:p>
    <w:p>
      <w:pPr>
        <w:ind w:firstLine="640"/>
        <w:rPr>
          <w:rFonts w:hint="eastAsia"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8</w:t>
      </w:r>
      <w:r>
        <w:rPr>
          <w:rFonts w:hint="eastAsia" w:ascii="宋体" w:hAnsi="宋体" w:eastAsia="仿宋" w:cs="仿宋"/>
          <w:kern w:val="0"/>
          <w:sz w:val="32"/>
          <w:szCs w:val="32"/>
          <w:shd w:val="clear" w:color="auto" w:fill="FFFFFF"/>
          <w:lang w:bidi="ar"/>
        </w:rPr>
        <w:t>.《山东省人力资源和社会保障厅关于进一步做好高技能人才和专业技术人才职业发展贯通工作的通知》（鲁人社字〔2021〕70号）</w:t>
      </w:r>
    </w:p>
    <w:p>
      <w:pPr>
        <w:ind w:firstLine="640"/>
        <w:rPr>
          <w:rFonts w:ascii="宋体" w:hAnsi="宋体" w:eastAsia="仿宋" w:cs="仿宋"/>
          <w:kern w:val="0"/>
          <w:sz w:val="32"/>
          <w:szCs w:val="32"/>
          <w:shd w:val="clear" w:color="auto" w:fill="FFFFFF"/>
          <w:lang w:bidi="ar"/>
        </w:rPr>
      </w:pPr>
      <w:r>
        <w:rPr>
          <w:rFonts w:ascii="宋体" w:hAnsi="宋体" w:eastAsia="仿宋" w:cs="仿宋"/>
          <w:kern w:val="0"/>
          <w:sz w:val="32"/>
          <w:szCs w:val="32"/>
          <w:shd w:val="clear" w:color="auto" w:fill="FFFFFF"/>
          <w:lang w:bidi="ar"/>
        </w:rPr>
        <w:t>9.</w:t>
      </w:r>
      <w:r>
        <w:rPr>
          <w:rFonts w:hint="eastAsia" w:ascii="宋体" w:hAnsi="宋体" w:eastAsia="仿宋" w:cs="仿宋"/>
          <w:kern w:val="0"/>
          <w:sz w:val="32"/>
          <w:szCs w:val="32"/>
          <w:shd w:val="clear" w:color="auto" w:fill="FFFFFF"/>
          <w:lang w:bidi="ar"/>
        </w:rPr>
        <w:t>《中共山东省委组织部山东省人力资源和社会保障厅等8部门关于贯彻落实人社部发〔2019〕137号文件进一步支持鼓励事业单位科研人员创新创业的通知》（鲁人社字〔2020〕28号）</w:t>
      </w:r>
    </w:p>
    <w:p>
      <w:pPr>
        <w:ind w:firstLine="640"/>
      </w:pPr>
      <w:r>
        <w:rPr>
          <w:rFonts w:ascii="宋体" w:hAnsi="宋体" w:eastAsia="仿宋" w:cs="仿宋"/>
          <w:kern w:val="0"/>
          <w:sz w:val="32"/>
          <w:szCs w:val="32"/>
          <w:shd w:val="clear" w:color="auto" w:fill="FFFFFF"/>
          <w:lang w:bidi="ar"/>
        </w:rPr>
        <w:t>10.</w:t>
      </w:r>
      <w:r>
        <w:rPr>
          <w:rFonts w:hint="eastAsia" w:ascii="宋体" w:hAnsi="宋体" w:eastAsia="仿宋" w:cs="仿宋"/>
          <w:kern w:val="0"/>
          <w:sz w:val="32"/>
          <w:szCs w:val="32"/>
          <w:shd w:val="clear" w:color="auto" w:fill="FFFFFF"/>
          <w:lang w:bidi="ar"/>
        </w:rPr>
        <w:t>《山东省人力资源和社会保障厅等6部门关于加快落实基层职称制度的通知》（鲁人社字〔2020〕42号）</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18"/>
                              <w:szCs w:val="24"/>
                            </w:rPr>
                          </w:pPr>
                          <w:r>
                            <w:rPr>
                              <w:sz w:val="18"/>
                              <w:szCs w:val="24"/>
                            </w:rPr>
                            <w:t xml:space="preserve">— </w:t>
                          </w:r>
                          <w:r>
                            <w:rPr>
                              <w:sz w:val="18"/>
                              <w:szCs w:val="24"/>
                            </w:rPr>
                            <w:fldChar w:fldCharType="begin"/>
                          </w:r>
                          <w:r>
                            <w:rPr>
                              <w:sz w:val="18"/>
                              <w:szCs w:val="24"/>
                            </w:rPr>
                            <w:instrText xml:space="preserve"> PAGE  \* MERGEFORMAT </w:instrText>
                          </w:r>
                          <w:r>
                            <w:rPr>
                              <w:sz w:val="18"/>
                              <w:szCs w:val="24"/>
                            </w:rPr>
                            <w:fldChar w:fldCharType="separate"/>
                          </w:r>
                          <w:r>
                            <w:rPr>
                              <w:sz w:val="18"/>
                              <w:szCs w:val="24"/>
                            </w:rPr>
                            <w:t>1</w:t>
                          </w:r>
                          <w:r>
                            <w:rPr>
                              <w:sz w:val="18"/>
                              <w:szCs w:val="24"/>
                            </w:rPr>
                            <w:fldChar w:fldCharType="end"/>
                          </w:r>
                          <w:r>
                            <w:rPr>
                              <w:sz w:val="18"/>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sz w:val="18"/>
                        <w:szCs w:val="24"/>
                      </w:rPr>
                    </w:pPr>
                    <w:r>
                      <w:rPr>
                        <w:sz w:val="18"/>
                        <w:szCs w:val="24"/>
                      </w:rPr>
                      <w:t xml:space="preserve">— </w:t>
                    </w:r>
                    <w:r>
                      <w:rPr>
                        <w:sz w:val="18"/>
                        <w:szCs w:val="24"/>
                      </w:rPr>
                      <w:fldChar w:fldCharType="begin"/>
                    </w:r>
                    <w:r>
                      <w:rPr>
                        <w:sz w:val="18"/>
                        <w:szCs w:val="24"/>
                      </w:rPr>
                      <w:instrText xml:space="preserve"> PAGE  \* MERGEFORMAT </w:instrText>
                    </w:r>
                    <w:r>
                      <w:rPr>
                        <w:sz w:val="18"/>
                        <w:szCs w:val="24"/>
                      </w:rPr>
                      <w:fldChar w:fldCharType="separate"/>
                    </w:r>
                    <w:r>
                      <w:rPr>
                        <w:sz w:val="18"/>
                        <w:szCs w:val="24"/>
                      </w:rPr>
                      <w:t>1</w:t>
                    </w:r>
                    <w:r>
                      <w:rPr>
                        <w:sz w:val="18"/>
                        <w:szCs w:val="24"/>
                      </w:rPr>
                      <w:fldChar w:fldCharType="end"/>
                    </w:r>
                    <w:r>
                      <w:rPr>
                        <w:sz w:val="18"/>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9177C"/>
    <w:rsid w:val="59C9106C"/>
    <w:rsid w:val="6D5E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小宝贝</cp:lastModifiedBy>
  <dcterms:modified xsi:type="dcterms:W3CDTF">2021-10-18T06:40:45Z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D837CD6764ED4485BD48CB3065714791</vt:lpwstr>
  </property>
</Properties>
</file>