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Calibri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 w:cs="方正小标宋简体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</w:rPr>
        <w:t>行业风险等级变更承诺书</w:t>
      </w:r>
    </w:p>
    <w:p>
      <w:pPr>
        <w:jc w:val="both"/>
        <w:rPr>
          <w:rFonts w:hint="default" w:asciiTheme="majorEastAsia" w:hAnsiTheme="majorEastAsia" w:eastAsiaTheme="majorEastAsia" w:cstheme="majorEastAsia"/>
          <w:sz w:val="40"/>
          <w:szCs w:val="48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Calibri" w:eastAsia="仿宋_GB2312" w:cs="仿宋_GB2312"/>
          <w:sz w:val="32"/>
          <w:szCs w:val="32"/>
          <w:u w:val="none"/>
          <w:lang w:val="en-US" w:eastAsia="zh-CN"/>
        </w:rPr>
        <w:t>（单位名称）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郑重承诺，我单位已认真研读《人力资源和社会保障部 财政部关于调整工伤保险费率政策的通知》（人社部发[2015]71号）文件，确认本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单位的主要经营范围为</w:t>
      </w:r>
      <w:r>
        <w:rPr>
          <w:rFonts w:hint="eastAsia" w:ascii="仿宋_GB2312" w:hAnsi="Calibri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spacing w:line="560" w:lineRule="exact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。现申请将工伤保险行业风险类别变更为</w:t>
      </w:r>
      <w:r>
        <w:rPr>
          <w:rFonts w:hint="eastAsia" w:ascii="仿宋_GB2312" w:hAnsi="Calibri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类，如虚假承诺，我单位则按相关规定依法承担全部责任。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承诺单位：（盖章）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经办人:                        </w:t>
      </w:r>
    </w:p>
    <w:p>
      <w:pPr>
        <w:spacing w:line="560" w:lineRule="exact"/>
        <w:ind w:firstLine="320" w:firstLineChars="1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联系方式：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年   月   日</w:t>
      </w:r>
    </w:p>
    <w:p>
      <w:pPr>
        <w:jc w:val="both"/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zZhODc5ZDAxZjVlMDBiNjEwOWY3ZjNmMmIyMDQifQ=="/>
  </w:docVars>
  <w:rsids>
    <w:rsidRoot w:val="00000000"/>
    <w:rsid w:val="0D860F80"/>
    <w:rsid w:val="3A7876F9"/>
    <w:rsid w:val="518E078F"/>
    <w:rsid w:val="6B1531C6"/>
    <w:rsid w:val="7FD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2024-01-23T00:24:00Z</dcterms:created>
  <dc:creator>Administrator</dc:creator>
  <cp:lastModifiedBy>Administrator</cp:lastModifiedBy>
  <dcterms:modified xsi:type="dcterms:W3CDTF">2024-01-23T08:07:33Z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D192B15088C54DA98E1654F5FC56A9B2_13</vt:lpwstr>
  </property>
</Properties>
</file>