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“中国银行杯”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枣庄市“鲁班传人”职业技能大赛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枣庄市高端化工职业技能竞赛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（化工总控工赛项）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rPr>
          <w:rFonts w:ascii="宋体" w:hAnsi="宋体"/>
          <w:color w:val="000000"/>
          <w:sz w:val="36"/>
          <w:szCs w:val="36"/>
        </w:rPr>
      </w:pPr>
    </w:p>
    <w:p>
      <w:pPr>
        <w:rPr>
          <w:rFonts w:ascii="宋体" w:hAnsi="宋体"/>
          <w:color w:val="000000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257175</wp:posOffset>
                </wp:positionV>
                <wp:extent cx="940435" cy="4219575"/>
                <wp:effectExtent l="7620" t="825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421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60" w:lineRule="exact"/>
                            </w:pPr>
                            <w:r>
                              <w:rPr>
                                <w:rFonts w:hint="eastAsia" w:ascii="黑体" w:hAnsi="黑体" w:eastAsia="黑体"/>
                                <w:spacing w:val="20"/>
                                <w:kern w:val="0"/>
                                <w:sz w:val="100"/>
                                <w:szCs w:val="100"/>
                              </w:rPr>
                              <w:t>竞赛技术文件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1pt;margin-top:20.25pt;height:332.25pt;width:74.05pt;z-index:251659264;mso-width-relative:page;mso-height-relative:page;" fillcolor="#FFFFFF" filled="t" stroked="t" coordsize="21600,21600" o:gfxdata="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HpVaEtkAAAAKAQAADwAAAAAAAAAB&#10;ACAAAAAiAAAAZHJzL2Rvd25yZXYueG1sUEsBAhQAFAAAAAgAh07iQFLP2+WBAgAAFAUAAA4AAAAA&#10;AAAAAQAgAAAAKAEAAGRycy9lMm9Eb2MueG1sUEsFBgAAAAAGAAYAWQEAABs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060" w:lineRule="exact"/>
                      </w:pPr>
                      <w:r>
                        <w:rPr>
                          <w:rFonts w:hint="eastAsia" w:ascii="黑体" w:hAnsi="黑体" w:eastAsia="黑体"/>
                          <w:spacing w:val="20"/>
                          <w:kern w:val="0"/>
                          <w:sz w:val="100"/>
                          <w:szCs w:val="100"/>
                        </w:rPr>
                        <w:t>竞赛技术文件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jc w:val="center"/>
        <w:rPr>
          <w:rFonts w:ascii="方正大标宋简体" w:hAnsi="宋体" w:eastAsia="方正大标宋简体"/>
          <w:color w:val="000000"/>
          <w:sz w:val="36"/>
          <w:szCs w:val="36"/>
        </w:rPr>
      </w:pPr>
    </w:p>
    <w:p>
      <w:pPr>
        <w:tabs>
          <w:tab w:val="left" w:pos="1970"/>
        </w:tabs>
        <w:spacing w:line="560" w:lineRule="exact"/>
        <w:ind w:left="1970" w:leftChars="938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二〇二三年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月</w:t>
      </w:r>
    </w:p>
    <w:p>
      <w:pPr>
        <w:tabs>
          <w:tab w:val="left" w:pos="0"/>
        </w:tabs>
        <w:autoSpaceDE w:val="0"/>
        <w:autoSpaceDN w:val="0"/>
        <w:adjustRightInd w:val="0"/>
        <w:spacing w:line="560" w:lineRule="exact"/>
        <w:jc w:val="center"/>
        <w:rPr>
          <w:rFonts w:hint="eastAsia" w:ascii="楷体" w:hAnsi="楷体" w:eastAsia="楷体" w:cs="楷体"/>
          <w:color w:val="000000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1418" w:right="1247" w:bottom="1418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tabs>
          <w:tab w:val="left" w:pos="0"/>
        </w:tabs>
        <w:autoSpaceDE w:val="0"/>
        <w:autoSpaceDN w:val="0"/>
        <w:adjustRightInd w:val="0"/>
        <w:spacing w:after="120" w:afterLines="50" w:line="600" w:lineRule="exact"/>
        <w:jc w:val="center"/>
        <w:rPr>
          <w:rFonts w:ascii="黑体" w:hAnsi="黑体" w:eastAsia="黑体" w:cs="宋体"/>
          <w:bCs/>
          <w:szCs w:val="32"/>
        </w:rPr>
      </w:pPr>
      <w:r>
        <w:rPr>
          <w:rFonts w:hint="eastAsia" w:ascii="仿宋_GB2312" w:hAnsi="黑体" w:eastAsia="仿宋_GB2312" w:cs="Times New Roman"/>
          <w:color w:val="000000"/>
          <w:sz w:val="44"/>
          <w:szCs w:val="44"/>
        </w:rPr>
        <w:t>目  录</w:t>
      </w:r>
      <w:r>
        <w:rPr>
          <w:rFonts w:hint="eastAsia" w:ascii="黑体" w:hAnsi="黑体" w:eastAsia="黑体" w:cs="宋体"/>
          <w:bCs/>
          <w:szCs w:val="32"/>
        </w:rPr>
        <w:fldChar w:fldCharType="begin"/>
      </w:r>
      <w:r>
        <w:rPr>
          <w:rFonts w:hint="eastAsia" w:ascii="黑体" w:hAnsi="黑体" w:eastAsia="黑体" w:cs="宋体"/>
          <w:bCs/>
          <w:szCs w:val="32"/>
        </w:rPr>
        <w:instrText xml:space="preserve">TOC \o "1-1" \h \u </w:instrText>
      </w:r>
      <w:r>
        <w:rPr>
          <w:rFonts w:hint="eastAsia" w:ascii="黑体" w:hAnsi="黑体" w:eastAsia="黑体" w:cs="宋体"/>
          <w:bCs/>
          <w:szCs w:val="32"/>
        </w:rPr>
        <w:fldChar w:fldCharType="separate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"_Toc15695"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一、赛项描述</w:t>
      </w:r>
      <w:r>
        <w:tab/>
      </w:r>
      <w:r>
        <w:rPr>
          <w:rFonts w:hint="eastAsia" w:ascii="黑体" w:hAnsi="黑体" w:eastAsia="黑体" w:cs="宋体"/>
          <w:bCs/>
          <w:szCs w:val="32"/>
        </w:rPr>
        <w:t>2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"_Toc7752"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二、命题内容</w:t>
      </w:r>
      <w:r>
        <w:tab/>
      </w:r>
      <w:r>
        <w:rPr>
          <w:rFonts w:hint="eastAsia" w:ascii="黑体" w:hAnsi="黑体" w:eastAsia="黑体" w:cs="宋体"/>
          <w:bCs/>
          <w:szCs w:val="32"/>
        </w:rPr>
        <w:t>2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"_Toc17107"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三、比赛规则</w:t>
      </w:r>
      <w:r>
        <w:tab/>
      </w:r>
      <w:r>
        <w:rPr>
          <w:rFonts w:hint="eastAsia" w:ascii="黑体" w:hAnsi="黑体" w:eastAsia="黑体" w:cs="宋体"/>
          <w:bCs/>
          <w:szCs w:val="32"/>
        </w:rPr>
        <w:t>3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"_Toc25595"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四、评判规则</w:t>
      </w:r>
      <w:r>
        <w:tab/>
      </w:r>
      <w:r>
        <w:rPr>
          <w:rFonts w:hint="eastAsia" w:ascii="黑体" w:hAnsi="黑体" w:eastAsia="黑体" w:cs="宋体"/>
          <w:bCs/>
          <w:szCs w:val="32"/>
        </w:rPr>
        <w:t>4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"_Toc25751"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五、赛场设施</w:t>
      </w:r>
      <w:r>
        <w:tab/>
      </w:r>
      <w:r>
        <w:rPr>
          <w:rFonts w:hint="eastAsia" w:ascii="黑体" w:hAnsi="黑体" w:eastAsia="黑体" w:cs="宋体"/>
          <w:bCs/>
          <w:szCs w:val="32"/>
        </w:rPr>
        <w:t>8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  <w:r>
        <w:fldChar w:fldCharType="begin"/>
      </w:r>
      <w:r>
        <w:instrText xml:space="preserve"> HYPERLINK \l "_Toc4069" </w:instrText>
      </w:r>
      <w:r>
        <w:fldChar w:fldCharType="separate"/>
      </w:r>
      <w:r>
        <w:rPr>
          <w:rFonts w:hint="eastAsia" w:ascii="黑体" w:hAnsi="黑体" w:eastAsia="黑体" w:cs="Arial"/>
          <w:b/>
          <w:kern w:val="2"/>
          <w:sz w:val="24"/>
          <w:szCs w:val="24"/>
          <w:lang w:val="en-US" w:eastAsia="zh-CN" w:bidi="ar-SA"/>
        </w:rPr>
        <w:t>六、注意事项</w:t>
      </w:r>
      <w:r>
        <w:tab/>
      </w:r>
      <w:r>
        <w:rPr>
          <w:rFonts w:hint="eastAsia" w:ascii="黑体" w:hAnsi="黑体" w:eastAsia="黑体" w:cs="宋体"/>
          <w:bCs/>
          <w:szCs w:val="32"/>
        </w:rPr>
        <w:t>1</w:t>
      </w:r>
      <w:r>
        <w:rPr>
          <w:rFonts w:hint="eastAsia" w:ascii="黑体" w:hAnsi="黑体" w:eastAsia="黑体" w:cs="宋体"/>
          <w:bCs/>
          <w:szCs w:val="32"/>
        </w:rPr>
        <w:fldChar w:fldCharType="end"/>
      </w:r>
      <w:r>
        <w:rPr>
          <w:rFonts w:hint="eastAsia" w:ascii="黑体" w:hAnsi="黑体" w:eastAsia="黑体" w:cs="宋体"/>
          <w:bCs/>
          <w:szCs w:val="32"/>
        </w:rPr>
        <w:t>0</w:t>
      </w:r>
    </w:p>
    <w:p>
      <w:pPr>
        <w:pStyle w:val="4"/>
        <w:tabs>
          <w:tab w:val="left" w:pos="840"/>
          <w:tab w:val="right" w:leader="dot" w:pos="9760"/>
        </w:tabs>
        <w:spacing w:line="360" w:lineRule="auto"/>
        <w:ind w:firstLine="840"/>
        <w:rPr>
          <w:rFonts w:ascii="黑体" w:hAnsi="黑体" w:eastAsia="黑体" w:cs="宋体"/>
          <w:bCs/>
          <w:szCs w:val="32"/>
        </w:rPr>
      </w:pPr>
    </w:p>
    <w:p>
      <w:pPr>
        <w:tabs>
          <w:tab w:val="left" w:pos="0"/>
        </w:tabs>
        <w:autoSpaceDE w:val="0"/>
        <w:autoSpaceDN w:val="0"/>
        <w:adjustRightInd w:val="0"/>
        <w:spacing w:line="600" w:lineRule="exact"/>
        <w:rPr>
          <w:color w:val="000000"/>
        </w:rPr>
        <w:sectPr>
          <w:footerReference r:id="rId6" w:type="default"/>
          <w:pgSz w:w="11920" w:h="16850"/>
          <w:pgMar w:top="1440" w:right="1080" w:bottom="1440" w:left="1080" w:header="0" w:footer="1173" w:gutter="0"/>
          <w:pgNumType w:fmt="decimal"/>
          <w:cols w:space="720" w:num="1"/>
        </w:sectPr>
      </w:pPr>
      <w:r>
        <w:rPr>
          <w:rFonts w:hint="eastAsia" w:ascii="黑体" w:hAnsi="黑体" w:eastAsia="黑体" w:cs="宋体"/>
          <w:bCs/>
          <w:szCs w:val="32"/>
        </w:rPr>
        <w:fldChar w:fldCharType="end"/>
      </w:r>
    </w:p>
    <w:p>
      <w:pPr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“中国银行杯”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枣庄市“鲁班传人”职业技能大赛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庄市高端化工职业技能竞赛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化工总控工赛项实施方案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numPr>
          <w:ilvl w:val="0"/>
          <w:numId w:val="1"/>
        </w:numPr>
        <w:tabs>
          <w:tab w:val="left" w:pos="0"/>
        </w:tabs>
        <w:spacing w:line="570" w:lineRule="exact"/>
        <w:ind w:firstLine="643" w:firstLine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ascii="黑体" w:hAnsi="黑体" w:eastAsia="黑体" w:cs="宋体"/>
          <w:b/>
          <w:bCs/>
          <w:sz w:val="32"/>
          <w:szCs w:val="32"/>
        </w:rPr>
        <w:t>赛项描述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总控工操作技能是智能型操作技能，不仅要求就业人员具有较高的心智技能，还要求就业人员依据不同的生产操作岗位完成相应的操作。基于化工生产的特殊性，选择典型的化工生产岗位工种——精馏现场操作。在竞赛的形式上，将设计个人项目和团体项目两种形式，既考核选手个人能力，也考核选手的团队协作能力和团队整体实力。</w:t>
      </w:r>
    </w:p>
    <w:p>
      <w:pPr>
        <w:numPr>
          <w:ilvl w:val="0"/>
          <w:numId w:val="1"/>
        </w:numPr>
        <w:tabs>
          <w:tab w:val="left" w:pos="0"/>
        </w:tabs>
        <w:spacing w:line="570" w:lineRule="exact"/>
        <w:ind w:firstLine="643" w:firstLine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命题内容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依据化工总控工职业标准（化工总控工所必备的理论知识）要求进行考核项目设计，注重基本技能和专业化操作，注重操作过程和精细控制，体现最新技术，结合企业实际，考核职业综合能力，并对技能人才培养起到示范指导作用，考核选手的学习能力、理解能力、实践操作能力和职业素养等，推动我市化工生产总控工技能提高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(一)化工专业知识考核（A）和化工精馏操作（B）两部分。竞赛时，化工专业知识考核为个人项目，精馏操作为集体项目。各参赛队的参赛日程由赛前抽签决定。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（二）化工专业知识考核采用机考方式，考题直接从题库中由计算机随机生成，选手考完后由计算机自动阅卷、评分。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（三）精馏操作采用浙江中控科教仪器设备有限公司生产的UTS-JL-2J化工总控工培训与竞赛装置。工作介质采用乙醇-水溶液。要求3位选手在相互配合下共同完成操作。</w:t>
      </w:r>
    </w:p>
    <w:p>
      <w:pPr>
        <w:tabs>
          <w:tab w:val="left" w:pos="0"/>
        </w:tabs>
        <w:spacing w:line="570" w:lineRule="exact"/>
        <w:ind w:firstLine="643" w:firstLine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三、比赛规则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比赛设置专业理论、精馏操作两个项目。专业理论项目时长60min，成绩占比20%，采取机考形式。实操项目时长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0min，成绩占比80%，按照精馏操作标准要求以现场进行操作的方式进行。该赛项总分100分。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参赛选手应在指引员指引下提前15分钟凭身份证、工作证参赛进入竞赛场地，并依照项目裁判长统一指令开始比赛。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参赛选手进入赛场必需听从现场裁判人员的统一布置和安排，比赛期间必须严格遵守安全操作规程，确保人身和设备安全。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赛场提供竞赛指定的专用设备，参赛选手不可自带工具。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参赛选手应认真阅读竞赛须知，自觉遵守赛场纪律，按竞赛规则、项目与赛场要求进行竞赛，不得携带任何通讯及存储设备、纸质材料等物品进入赛场，赛场内提供必需用品。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参赛选手进入赛场不得以任何方式公开参赛队及个人信息。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竞赛过程中，参赛选手须严格遵守安全操作规程及劳动保护要求，确保设备及人身安全，并接受裁判员的监督和警示。如因竞赛设备或检测仪器发生故障，应由项目裁判长进行评判；若因选手个人原因造成设备故障而无法继续比赛，裁判长有权决定终止该选手或该队比赛，若非选手原因造成设备故障的，由裁判长视具体情况做出裁决（暂停比赛计时或调整至最后一批次参加比赛），如果裁判长确定为设备故障问题，将给参赛选手补足技术支持人员排除设备故障所耽误的竞赛时间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比赛结束前15分钟，裁判长提醒比赛即将结束，当宣布比赛结束后，参赛选手必须马上停止一切操作，按要求位置站立等候撤离比赛赛位指令。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参赛选手若提前结束比赛，应由选手向裁判员举手示意，比赛终止时间由裁判员记录，并清理现场卫生，参赛选手结束比赛后不得再进行任何操作，并按要求撤离比赛现场。</w:t>
      </w:r>
    </w:p>
    <w:p>
      <w:pPr>
        <w:tabs>
          <w:tab w:val="left" w:pos="0"/>
        </w:tabs>
        <w:spacing w:line="570" w:lineRule="exact"/>
        <w:ind w:left="420" w:left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四、评判规则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（一）评分标准制订原则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竞赛评分本着“公平、公正、公开、科学、规范”的原则，注重考核选手的职业综合能力、团队的协作与组织能力和技术应用能力。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（二）评分标准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1．化工专业知识评分标准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由计算机依据命题方案随机生成100道题，每题1分。选手依次回答所有题目，计算机根据选手答题正确与否自动评分，并评出最终得分。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2．精馏操作评分标准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精馏操作主要考核三部分：精馏操作技术指标（85%）、规范操作（12.5%）和安全文明操作（2.5%）。其中精馏操作技术指标得分由电脑根据工艺指标的合理性、装置稳定时间、产品产量、产品质量（浓度）、原材料消耗等内容自动评分，当实验结束时按下实验结束键，系统自动停止对各个实时指标的考核，计算得出最后选手精馏操作技术指标的得分。具体评分项目与标准见下表。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sz w:val="24"/>
        </w:rPr>
        <w:t>精馏操作具体评分项目与标准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00"/>
        <w:gridCol w:w="1275"/>
        <w:gridCol w:w="538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考核项目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评分项</w:t>
            </w:r>
          </w:p>
        </w:tc>
        <w:tc>
          <w:tcPr>
            <w:tcW w:w="538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考核内容与要求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技术指标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工艺指标合理性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进料温度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ind w:right="-2" w:rightChars="-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进料温度与进料板温度差不超过7℃，超出范围持续一定时间系统将自动扣分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再沸器液位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ind w:right="-2" w:rightChars="-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再沸器液位需要维持稳定在8</w:t>
            </w:r>
            <w:r>
              <w:rPr>
                <w:rFonts w:ascii="仿宋_GB2312" w:hAnsi="宋体" w:eastAsia="仿宋_GB2312"/>
                <w:sz w:val="24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-</w:t>
            </w:r>
            <w:r>
              <w:rPr>
                <w:rFonts w:ascii="仿宋_GB2312" w:hAnsi="宋体" w:eastAsia="仿宋_GB2312"/>
                <w:sz w:val="24"/>
              </w:rPr>
              <w:t>100</w:t>
            </w:r>
            <w:r>
              <w:rPr>
                <w:rFonts w:hint="eastAsia" w:ascii="仿宋_GB2312" w:hAnsi="宋体" w:eastAsia="仿宋_GB2312"/>
                <w:sz w:val="24"/>
              </w:rPr>
              <w:t>mm，超出范围持续一定时间系统将自动扣分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塔顶压力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ind w:right="-2" w:rightChars="-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塔顶压力需控制在指定范围，超出范围持续一定时间系统将自动扣分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塔压差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ind w:right="-2" w:rightChars="-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塔压差需控制在指定范围，超出范围持续一定时间系统将自动扣分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塔顶产品温度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ind w:right="-2" w:rightChars="-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经塔顶产品罐冷却器的馏出液（塔顶产品）需冷却至40℃以下后收集，超出40℃持续一定时间系统将自动扣分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调节系统稳定的时间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以选手按下“考核开始”键作为起始信号，终止信号由电脑根据操作者的实际塔顶温度经自动判断。然后由系统设定的扣分标准进行自动记分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产品浓度评分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测定产品罐中最终产品浓度，按系统设定的扣分标准进行自动记分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产量评分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电子称称量产品产量，按系统设定的扣分标准进行自动记分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原料损耗量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读取原料贮槽液位，计算原料消耗量，并输入到计算机中，按系统设定的扣分标准进行自动记分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电耗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读取装置用电总量，并输入到计算机中，按系统设定的扣分标准进行自动记分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水耗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读取装置用水总量，并输入到计算机中，按系统设定的扣分标准进行自动记分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范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</w:tc>
        <w:tc>
          <w:tcPr>
            <w:tcW w:w="1975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开车准备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①裁判长宣布考核开始，检查总电源、仪表盘电源，查看电压表、温度显示、实时监控仪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②检查并确定工艺流程中各阀门状态，调整至准备开车状态并挂牌标识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③记录电表初始度数，记录DCS操作界面原料罐液位，填入工艺记录卡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④检查并清空回流罐、产品罐中积液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⑤查有无供水，并记录水表初始值，填入工艺记录卡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⑥规范操作进料泵（离心泵）；将原料加入再沸器至合适液位，点击评分表中的“确认”、“清零”、“复位”键至“复位”键变成绿色后，切换至DCS控制界面并点击“考核开始”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开车操作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①规范启动精馏塔再沸器加热系统，升温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②开启冷却水上水总阀及精馏塔顶冷凝器冷却水进口阀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</w:rPr>
              <w:t>调节冷却水流量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③规范操作产品泵（齿轮泵），并通过回流转子流量计进行全回流操作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④控制回流罐液位及回流量，控制系统稳定性（评分系统自动扣分），必要时可取样分析，但操作过程中</w:t>
            </w:r>
            <w:r>
              <w:rPr>
                <w:rFonts w:hint="eastAsia" w:ascii="仿宋_GB2312" w:eastAsia="仿宋_GB2312"/>
                <w:sz w:val="24"/>
              </w:rPr>
              <w:t>气相色谱</w:t>
            </w:r>
            <w:r>
              <w:rPr>
                <w:rFonts w:hint="eastAsia" w:ascii="仿宋_GB2312" w:hAnsi="宋体" w:eastAsia="仿宋_GB2312"/>
                <w:sz w:val="24"/>
              </w:rPr>
              <w:t>测试累计不得超过3次。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⑤适时打开系统放空，排放不凝性气体，并维持塔顶压力稳定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⑥选择合适的进料位置，进料流量≤60L/h</w:t>
            </w:r>
            <w:r>
              <w:rPr>
                <w:rFonts w:hint="eastAsia" w:ascii="仿宋_GB2312" w:eastAsia="仿宋_GB2312"/>
                <w:sz w:val="24"/>
              </w:rPr>
              <w:t>。开启进料后</w:t>
            </w:r>
            <w:r>
              <w:rPr>
                <w:rFonts w:hint="eastAsia" w:ascii="仿宋_GB2312" w:hAnsi="宋体" w:eastAsia="仿宋_GB2312"/>
                <w:sz w:val="24"/>
              </w:rPr>
              <w:t>５分钟内预热器出口温度必须超过75℃，同时须防止预热器过压操作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正常运行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pStyle w:val="7"/>
              <w:spacing w:line="360" w:lineRule="auto"/>
              <w:ind w:firstLine="0" w:firstLineChars="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规范操作回流泵（齿轮泵），经塔顶产品罐冷却器，将塔顶馏出液冷却至40℃以下后收集塔顶产品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②启动塔釜残液冷却器，将塔釜残液冷却至40℃以下后，收集塔釜残液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正常停车（10分钟内完成，未完成步骤扣除相应分数）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①精馏操作考核80分钟完毕，停进料泵（离心泵），关闭相应管线上阀门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②规范停止预热器加热及再沸器电加热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③及时点击DCS操作界面的“考核结束”，停回流泵（齿轮泵）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④将塔顶馏出液送入产品槽，停馏出液冷凝水，停产品泵（齿轮泵）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⑤停止塔釜残液采出，塔釜冷凝水，关闭上水阀、回水阀，并正确记录水表读数、电表读数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⑥各阀门恢复初始开车前的状态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⑦记录DCS操作面板原料储罐液位，收集并称量产品罐中馏出液，取样交裁判计时结束。分析最终产品含量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文明操作，礼貌待人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①</w:t>
            </w:r>
            <w:r>
              <w:rPr>
                <w:rFonts w:hint="eastAsia" w:ascii="仿宋_GB2312" w:eastAsia="仿宋_GB2312"/>
                <w:sz w:val="24"/>
              </w:rPr>
              <w:t>穿戴符合安全生产与文明操作要求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  <w:r>
              <w:rPr>
                <w:rFonts w:ascii="仿宋_GB2312" w:eastAsia="仿宋_GB2312"/>
                <w:bCs/>
                <w:sz w:val="24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②</w:t>
            </w:r>
            <w:r>
              <w:rPr>
                <w:rFonts w:hint="eastAsia" w:ascii="仿宋_GB2312" w:eastAsia="仿宋_GB2312"/>
                <w:sz w:val="24"/>
              </w:rPr>
              <w:t>保持现场环境整齐、清洁、有序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③正确操作设备、使用工具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④</w:t>
            </w:r>
            <w:r>
              <w:rPr>
                <w:rFonts w:hint="eastAsia" w:ascii="仿宋_GB2312" w:eastAsia="仿宋_GB2312"/>
                <w:sz w:val="24"/>
              </w:rPr>
              <w:t>文明礼貌，服从裁判，尊重工作人员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⑤记录及时、完整、规范、真实、准确。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⑥记录结果弄虚作假扣全部文明操作分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</w:tc>
        <w:tc>
          <w:tcPr>
            <w:tcW w:w="19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</w:t>
            </w:r>
          </w:p>
        </w:tc>
        <w:tc>
          <w:tcPr>
            <w:tcW w:w="538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发生人为的操作安全事故（如再沸器现场液位低于5cm）/预热器干烧（预热器上方视镜无液体+现场温度计超过80℃+预热器正在加热+无进料）、设备人为损坏、操作不当导致的严重泄漏，伤人等情况），作弊以获得高产量，扣除全部操作分。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注：本评分项目与标准仅作为参赛队训练参照，非最终定稿。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（三）化工专业知识竞赛成绩（A）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采用机考评分，参赛选手登录答题系统并核实个人信息后限时完成答题，计算机根据参赛选手上机考核情况直接自动评分，满分100分。项目裁判长汇同现场裁判实时汇总各赛位号的成绩，经复核无误，由裁判长、监督人员和仲裁人员签字确认后公布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（四）精馏操作成绩（B）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赛位配备不少于2位裁判员。采用过程评分与客观评分相结合。由2名评审裁判员依据选手现场实际操作规范程度、操作质量和文明操作情况，按照精馏操作评分细则独立实施过程评判，以确定成绩，满分100分。裁判需在监督人员的现场监督下，对参赛队伍的评分结果进行分步汇总并计算平均分，所有步骤成绩的加权汇总值作为该参赛队伍的最后得分。项目裁判长当天提交赛位号评分结果，经复核无误，由裁判长、监督人员和仲裁人员签字确认后公布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（五）比赛总成绩计算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个人比赛总成绩（Gi）计算：Gi =Ai×20%＋Bi×80%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团体总成绩（MG）计算：MG=(G1+ G2+ G3)/3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（六）竞赛名次按团体总成绩高低排定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总成绩相同者，以实际操作技能成绩高者为先，实际操作技能成绩相同时，按比赛完成时间短者为先。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（七）成绩复核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成绩评判的准确性，监督组将对赛项总成绩排名前30%的所有参赛队伍（选手）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>
      <w:pPr>
        <w:tabs>
          <w:tab w:val="left" w:pos="0"/>
        </w:tabs>
        <w:spacing w:line="570" w:lineRule="exact"/>
        <w:ind w:firstLine="643" w:firstLine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五、赛场设施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本赛项所用技术平台具体如下：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台式电脑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100台以上（根据参赛选手人数确定），用于理论与仿真操作考核。基本技术要求见表。</w:t>
      </w:r>
    </w:p>
    <w:p>
      <w:pPr>
        <w:spacing w:line="360" w:lineRule="auto"/>
        <w:ind w:firstLine="482" w:firstLineChars="20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考核用电脑基本技术要求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34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硬件（最低）配置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软件环境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网络服务器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酷睿 2.0G CPU，2G内存，360G硬盘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2003 Server中文版，安装SQL Server 2000 中文版数据库、微软Freamwok2.0 插件。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管理员计算机（裁判用机）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酷睿 1.6 CPU，1G内存，120G硬盘以上配置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XP（SP2及以上），安装IE7.0或以上浏览器、微软Freamwok2.0 插件并安装Office2000及以上版本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学员计算机（选手用机）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酷睿 1.6CPU，1G内存，120G硬盘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XP（SP2及以上），安装IE7.0或以上浏览器、微软Freamwok2.0 插件。（注意市场上的 GHOST XP系统可能存在无法启动等问题）</w:t>
            </w:r>
          </w:p>
        </w:tc>
      </w:tr>
    </w:tbl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理论考核与自动评分系统软件。支撑上述软件运行用电脑的技术要求不得低于上表所列标准，且需在竞赛前由专业技术人员完成安装与调试工作。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精馏操作中试装置及其相配套的公用设施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赛场光线充足，照明良好；供电供水设施正常且安全有保障；场地整洁，无外界干扰。设置隔离带，非裁判员、参赛选手不得进入比赛场地；标明消防器材、安全通道、洗手间等位置。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UTS-JL-2J精馏装置，要求规格、型号相同并且必须严格按照国赛要求系统、设备升级后的多套精馏设备用于精馏操作竞赛。装置的技术要求为：装置原料处理能力为60kg/h，配备DCS操作系统、带控制点的工艺流程图、安全操作说明书、比重计（测定）、酒精浓度-温度对照表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各类衡器、容器、量具等。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用于精馏操作考核中物料的盛装与计量。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裁判用电脑、打印机等。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其它：比赛现场提供生产操作工艺卡文档等。</w:t>
      </w:r>
    </w:p>
    <w:p>
      <w:pPr>
        <w:tabs>
          <w:tab w:val="left" w:pos="0"/>
        </w:tabs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赛场的精馏塔、比重计或气相色谱等符合相关标准和要求，赛场物料配置清单明细如下：</w:t>
      </w:r>
    </w:p>
    <w:tbl>
      <w:tblPr>
        <w:tblStyle w:val="5"/>
        <w:tblpPr w:leftFromText="180" w:rightFromText="180" w:vertAnchor="text" w:horzAnchor="page" w:tblpXSpec="center" w:tblpY="37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101"/>
        <w:gridCol w:w="265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规格型号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精馏塔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UTS-JL-2J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比重计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1套/组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酒精浓度-温度对照表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1套/组</w:t>
            </w:r>
          </w:p>
        </w:tc>
      </w:tr>
    </w:tbl>
    <w:p>
      <w:pPr>
        <w:tabs>
          <w:tab w:val="left" w:pos="0"/>
        </w:tabs>
        <w:spacing w:line="570" w:lineRule="exact"/>
        <w:ind w:firstLine="643" w:firstLineChars="200"/>
        <w:outlineLvl w:val="0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六、注意事项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)选</w:t>
      </w:r>
      <w:r>
        <w:rPr>
          <w:rFonts w:hint="eastAsia" w:ascii="仿宋_GB2312" w:hAnsi="仿宋_GB2312" w:eastAsia="仿宋_GB2312" w:cs="仿宋_GB2312"/>
          <w:sz w:val="32"/>
          <w:szCs w:val="32"/>
        </w:rPr>
        <w:t>手在操作设备时应严格遵守安全操作规程。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文明操作,做到操作场地整洁。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场地及通道内配备符合国家法令的消防设施，所有的电气设施符合国家标准，所使用的设备安全装置完好。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执裁人员发现参赛选手有违反安全生产规定的行为要立即制止，对于不服从指挥者，执裁人员有权中止其考试，并认真做好记录。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赛场应准备一定的急救用品，保证赛场的人身、赛场用品的安全，维护赛场的正常秩序。</w:t>
      </w:r>
    </w:p>
    <w:p>
      <w:pPr>
        <w:spacing w:line="570" w:lineRule="exact"/>
        <w:ind w:firstLine="56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)环境整洁卫生，体现绿色环保，严格遵守竞赛规则，提高安全意识和卫生意识，按照要求穿戴劳保用品，遵守职业规范。所有竞赛相关人员必须保持场地整洁。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结束后，选手要整理好竞赛工位的卫生，做到工完料净场地清。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未尽事项遵照国家相关规定。</w:t>
      </w:r>
    </w:p>
    <w:sectPr>
      <w:footerReference r:id="rId7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4" w:lineRule="auto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ED8A4"/>
    <w:multiLevelType w:val="singleLevel"/>
    <w:tmpl w:val="61FED8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23FFAA0F"/>
    <w:rsid w:val="1CCC2F97"/>
    <w:rsid w:val="1F6A4BA9"/>
    <w:rsid w:val="203E2AC0"/>
    <w:rsid w:val="23FFAA0F"/>
    <w:rsid w:val="279376DB"/>
    <w:rsid w:val="3064653B"/>
    <w:rsid w:val="55AE2B17"/>
    <w:rsid w:val="73164D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oc 1"/>
    <w:basedOn w:val="1"/>
    <w:next w:val="1"/>
    <w:qFormat/>
    <w:uiPriority w:val="39"/>
    <w:rPr>
      <w:rFonts w:ascii="Book Antiqua" w:hAnsi="Book Antiqua" w:eastAsia="宋体" w:cs="Book Antiqua"/>
      <w:sz w:val="2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2023-10-19T16:14:00Z</dcterms:created>
  <dc:creator>user</dc:creator>
  <cp:lastModifiedBy>蟋小蟀</cp:lastModifiedBy>
  <dcterms:modified xsi:type="dcterms:W3CDTF">2023-10-23T07:47:29Z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41442D7C872543D4A3C8CE9001B41B15_13</vt:lpwstr>
  </property>
</Properties>
</file>